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9D" w:rsidRPr="00F4359D" w:rsidRDefault="00F4359D" w:rsidP="00F4359D">
      <w:pPr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val="en-US" w:eastAsia="bg-BG"/>
        </w:rPr>
      </w:pPr>
      <w:r w:rsidRPr="00F4359D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val="en-US" w:eastAsia="bg-BG"/>
        </w:rPr>
        <w:t>Question:</w:t>
      </w:r>
      <w:r w:rsidRPr="00F4359D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val="en-US" w:eastAsia="bg-BG"/>
        </w:rPr>
        <w:br/>
      </w:r>
    </w:p>
    <w:p w:rsidR="00F4359D" w:rsidRPr="00F4359D" w:rsidRDefault="00F4359D" w:rsidP="00F4359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Republic of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Bulgaria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has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developed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a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draft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State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aid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scheme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“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Reduced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excise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duty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on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gas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oil used in primary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agricultural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r w:rsidRPr="00775175">
        <w:rPr>
          <w:rFonts w:ascii="Arial" w:eastAsia="Times New Roman" w:hAnsi="Arial" w:cs="Arial"/>
          <w:color w:val="333333"/>
          <w:sz w:val="21"/>
          <w:szCs w:val="21"/>
          <w:lang w:val="en-US" w:eastAsia="bg-BG"/>
        </w:rPr>
        <w:t>production</w:t>
      </w:r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"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based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on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Article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44 of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Commission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Regulation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(EU)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No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651/2014 of 17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June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2014 on </w:t>
      </w:r>
      <w:r w:rsidRPr="00775175">
        <w:rPr>
          <w:rFonts w:ascii="Arial" w:eastAsia="Times New Roman" w:hAnsi="Arial" w:cs="Arial"/>
          <w:color w:val="333333"/>
          <w:sz w:val="21"/>
          <w:szCs w:val="21"/>
          <w:lang w:val="en-US" w:eastAsia="bg-BG"/>
        </w:rPr>
        <w:t>declaring</w:t>
      </w:r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certain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categories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aid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compatible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with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internal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market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in</w:t>
      </w:r>
      <w:r w:rsidRPr="00775175">
        <w:rPr>
          <w:rFonts w:ascii="Arial" w:eastAsia="Times New Roman" w:hAnsi="Arial" w:cs="Arial"/>
          <w:color w:val="333333"/>
          <w:sz w:val="21"/>
          <w:szCs w:val="21"/>
          <w:lang w:val="en-AU" w:eastAsia="bg-BG"/>
        </w:rPr>
        <w:t xml:space="preserve"> application</w:t>
      </w:r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of</w:t>
      </w:r>
      <w:r w:rsidRPr="00775175">
        <w:rPr>
          <w:rFonts w:ascii="Arial" w:eastAsia="Times New Roman" w:hAnsi="Arial" w:cs="Arial"/>
          <w:color w:val="333333"/>
          <w:sz w:val="21"/>
          <w:szCs w:val="21"/>
          <w:lang w:val="en-GB" w:eastAsia="bg-BG"/>
        </w:rPr>
        <w:t xml:space="preserve"> Articles</w:t>
      </w:r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107 and 108 of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Treaty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(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Regulation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(EU)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No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651/2014).</w:t>
      </w:r>
    </w:p>
    <w:p w:rsidR="00F4359D" w:rsidRPr="00F4359D" w:rsidRDefault="00F4359D" w:rsidP="00F4359D">
      <w:pPr>
        <w:spacing w:before="15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draft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State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aid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scheme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provides</w:t>
      </w:r>
      <w:proofErr w:type="spellEnd"/>
      <w:r w:rsidRPr="00775175">
        <w:rPr>
          <w:rFonts w:ascii="Arial" w:eastAsia="Times New Roman" w:hAnsi="Arial" w:cs="Arial"/>
          <w:color w:val="333333"/>
          <w:sz w:val="21"/>
          <w:szCs w:val="21"/>
          <w:lang w:val="en-GB" w:eastAsia="bg-BG"/>
        </w:rPr>
        <w:t xml:space="preserve"> for</w:t>
      </w:r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a reduced excise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duty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on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gas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oil used in primary</w:t>
      </w:r>
      <w:r w:rsidRPr="00775175">
        <w:rPr>
          <w:rFonts w:ascii="Arial" w:eastAsia="Times New Roman" w:hAnsi="Arial" w:cs="Arial"/>
          <w:color w:val="333333"/>
          <w:sz w:val="21"/>
          <w:szCs w:val="21"/>
          <w:lang w:val="en-GB" w:eastAsia="bg-BG"/>
        </w:rPr>
        <w:t xml:space="preserve"> agricultural</w:t>
      </w:r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production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.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difference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between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standard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excise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duty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rate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on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gas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oil and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reduced excise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duty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rate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on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gas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oil used in primary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agricultural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production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will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be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reimbursed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to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aid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beneficiaries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based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on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transparent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and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objective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criteria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.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reduced excise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duty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rate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on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gas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oil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will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be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consistent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with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minimum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levels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taxation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provided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for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in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Article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8 of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Directive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2003/96/EC.</w:t>
      </w:r>
    </w:p>
    <w:p w:rsidR="00F4359D" w:rsidRPr="00F4359D" w:rsidRDefault="00F4359D" w:rsidP="00F4359D">
      <w:pPr>
        <w:spacing w:before="15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expenditure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for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excise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duty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on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fuel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(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gas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oil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with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CN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codes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from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2710 1941 to 2710 1949) used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for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purpose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of primary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agricultural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production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shall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be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deemed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eligible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under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scheme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. </w:t>
      </w:r>
    </w:p>
    <w:p w:rsidR="00F4359D" w:rsidRPr="00F4359D" w:rsidRDefault="00F4359D" w:rsidP="00F4359D">
      <w:pPr>
        <w:spacing w:before="15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Article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47 of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Energy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from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Renewable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Sources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Law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sets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a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requirement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for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minimum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content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biofuels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in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mineral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fuels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that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are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released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for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consumption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.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provisions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Law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transpose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requirements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Directive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2009/28/EC of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European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Parliament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and of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Council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of 23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April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2009 on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promotion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use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energy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from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renewable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sources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and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amending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and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subsequently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repealing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Directives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2001/77/EC and 2003/30/EC.</w:t>
      </w:r>
    </w:p>
    <w:p w:rsidR="00F4359D" w:rsidRPr="00F4359D" w:rsidRDefault="00F4359D" w:rsidP="00F4359D">
      <w:pPr>
        <w:spacing w:before="15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gas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oil used in primary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agricultural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production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contains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a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minimum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biocomponent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(e.g.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biodiesel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minimum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4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per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cent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by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volume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).    </w:t>
      </w:r>
    </w:p>
    <w:p w:rsidR="00F4359D" w:rsidRPr="00F4359D" w:rsidRDefault="00F4359D" w:rsidP="00F4359D">
      <w:pPr>
        <w:spacing w:before="15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In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light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above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Bulgaria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requests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an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answer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to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following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questions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:</w:t>
      </w:r>
      <w:r w:rsidRPr="00F4359D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 xml:space="preserve"> </w:t>
      </w:r>
    </w:p>
    <w:p w:rsidR="00F4359D" w:rsidRPr="00F4359D" w:rsidRDefault="00F4359D" w:rsidP="00F4359D">
      <w:pPr>
        <w:spacing w:before="15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1.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Is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it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allowed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to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support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agricultural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producers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in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form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of reduced excise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duty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on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gas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oil used in primary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agricultural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production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under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conditions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specified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above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on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grounds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Article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44 of GBER?</w:t>
      </w:r>
    </w:p>
    <w:p w:rsidR="00F4359D" w:rsidRPr="00F4359D" w:rsidRDefault="00F4359D" w:rsidP="00F4359D">
      <w:pPr>
        <w:spacing w:before="15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2.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Is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aid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compatible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for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gas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oil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containing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a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biocomponent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as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per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minimum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requirements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for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minimum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content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biofuels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in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mineral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fuels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?</w:t>
      </w:r>
    </w:p>
    <w:p w:rsidR="00F4359D" w:rsidRPr="00F4359D" w:rsidRDefault="00F4359D" w:rsidP="00F4359D">
      <w:pPr>
        <w:spacing w:before="15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3.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In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event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answer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to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question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2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is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POSITIVE,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please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clarify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whether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for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purposes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calculating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reduced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rate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we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have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to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exclude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from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aid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volume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content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biofuel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in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gas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oil?</w:t>
      </w:r>
    </w:p>
    <w:p w:rsidR="00F4359D" w:rsidRPr="00F4359D" w:rsidRDefault="00F4359D" w:rsidP="00F4359D">
      <w:pPr>
        <w:spacing w:before="15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4.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In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event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answer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to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question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2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is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NEGATIVE,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please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clarify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in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which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cases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and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for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what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type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fuel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aid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would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be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compatible</w:t>
      </w:r>
      <w:proofErr w:type="spellEnd"/>
      <w:r w:rsidRPr="00F435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?</w:t>
      </w:r>
    </w:p>
    <w:p w:rsidR="00F4359D" w:rsidRDefault="00F4359D" w:rsidP="00FB0ED9">
      <w:pPr>
        <w:pStyle w:val="NormalWeb"/>
        <w:jc w:val="both"/>
        <w:rPr>
          <w:rStyle w:val="Strong"/>
          <w:rFonts w:ascii="Arial" w:hAnsi="Arial" w:cs="Arial"/>
          <w:color w:val="333333"/>
          <w:sz w:val="21"/>
          <w:szCs w:val="21"/>
          <w:lang w:val="en-US"/>
        </w:rPr>
      </w:pPr>
    </w:p>
    <w:p w:rsidR="00997DE0" w:rsidRDefault="00997DE0" w:rsidP="00FB0ED9">
      <w:pPr>
        <w:pStyle w:val="NormalWeb"/>
        <w:jc w:val="both"/>
        <w:rPr>
          <w:rStyle w:val="Strong"/>
          <w:rFonts w:ascii="Arial" w:hAnsi="Arial" w:cs="Arial"/>
          <w:color w:val="333333"/>
          <w:sz w:val="21"/>
          <w:szCs w:val="21"/>
          <w:lang w:val="en-US"/>
        </w:rPr>
      </w:pPr>
      <w:r>
        <w:rPr>
          <w:rStyle w:val="Strong"/>
          <w:rFonts w:ascii="Arial" w:hAnsi="Arial" w:cs="Arial"/>
          <w:color w:val="333333"/>
          <w:sz w:val="21"/>
          <w:szCs w:val="21"/>
          <w:lang w:val="en-US"/>
        </w:rPr>
        <w:t>Answer:</w:t>
      </w:r>
    </w:p>
    <w:p w:rsidR="002F23E5" w:rsidRDefault="00997DE0" w:rsidP="00FB0ED9">
      <w:pPr>
        <w:pStyle w:val="NormalWeb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lang w:val="en-US"/>
        </w:rPr>
        <w:t>O</w:t>
      </w:r>
      <w:r w:rsidR="00F4359D">
        <w:rPr>
          <w:rStyle w:val="Strong"/>
          <w:rFonts w:ascii="Arial" w:hAnsi="Arial" w:cs="Arial"/>
          <w:color w:val="333333"/>
          <w:sz w:val="21"/>
          <w:szCs w:val="21"/>
          <w:lang w:val="en-US"/>
        </w:rPr>
        <w:t>n</w:t>
      </w:r>
      <w:r w:rsidR="00F4359D">
        <w:rPr>
          <w:rStyle w:val="Strong"/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 w:rsidR="00F4359D">
        <w:rPr>
          <w:rStyle w:val="Strong"/>
          <w:rFonts w:ascii="Arial" w:hAnsi="Arial" w:cs="Arial"/>
          <w:color w:val="333333"/>
          <w:sz w:val="21"/>
          <w:szCs w:val="21"/>
        </w:rPr>
        <w:t>1</w:t>
      </w:r>
      <w:r>
        <w:rPr>
          <w:rStyle w:val="Strong"/>
          <w:rFonts w:ascii="Arial" w:hAnsi="Arial" w:cs="Arial"/>
          <w:color w:val="333333"/>
          <w:sz w:val="21"/>
          <w:szCs w:val="21"/>
          <w:lang w:val="en-US"/>
        </w:rPr>
        <w:t>.</w:t>
      </w:r>
      <w:r w:rsidR="002F23E5">
        <w:rPr>
          <w:rStyle w:val="Strong"/>
          <w:rFonts w:ascii="Arial" w:hAnsi="Arial" w:cs="Arial"/>
          <w:color w:val="333333"/>
          <w:sz w:val="21"/>
          <w:szCs w:val="21"/>
        </w:rPr>
        <w:t>:</w:t>
      </w:r>
      <w:proofErr w:type="gramEnd"/>
      <w:r w:rsidR="002F23E5">
        <w:rPr>
          <w:rStyle w:val="Stro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According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Article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 1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paragraph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 3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lit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. b of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GBER,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aid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granted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in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primary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agricultural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production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sector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is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in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principle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not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covered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by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GBER,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unless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it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is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environmental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aid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>.</w:t>
      </w:r>
    </w:p>
    <w:p w:rsidR="002F23E5" w:rsidRDefault="002F23E5" w:rsidP="00FB0ED9">
      <w:pPr>
        <w:pStyle w:val="NormalWeb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Aid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reductions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environmental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taxes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fulfilling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conditions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Directive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2003/96/EC (ETD)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considered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aid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environmental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protection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Article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 44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GBER).</w:t>
      </w:r>
    </w:p>
    <w:p w:rsidR="002F23E5" w:rsidRDefault="002F23E5" w:rsidP="00FB0ED9">
      <w:pPr>
        <w:pStyle w:val="NormalWeb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environmental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tax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defined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Article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 2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 119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GBER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“a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tax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with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specific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tax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base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that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has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clear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negative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effect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on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environment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or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which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seeks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tax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certain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activities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goods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or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services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so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that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environmental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costs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may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be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included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in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their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price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and/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or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so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that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producers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and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consumers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are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oriented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towards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activities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which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better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respect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environment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”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2F23E5" w:rsidRDefault="002F23E5" w:rsidP="00FB0ED9">
      <w:pPr>
        <w:pStyle w:val="NormalWeb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Member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State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determine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whether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its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excise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duty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oil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constitutes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such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environmental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tax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whether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fulfils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conditions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ETD.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aid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 a reduced excise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duty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oil used in primary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production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could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principle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covered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Article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 44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GBER.</w:t>
      </w:r>
    </w:p>
    <w:p w:rsidR="00F4359D" w:rsidRDefault="00F4359D" w:rsidP="00F4359D">
      <w:pPr>
        <w:pStyle w:val="NormalWeb"/>
        <w:jc w:val="both"/>
        <w:rPr>
          <w:rStyle w:val="Strong"/>
          <w:rFonts w:ascii="Arial" w:hAnsi="Arial" w:cs="Arial"/>
          <w:color w:val="333333"/>
          <w:sz w:val="21"/>
          <w:szCs w:val="21"/>
          <w:lang w:val="en-US"/>
        </w:rPr>
      </w:pPr>
    </w:p>
    <w:p w:rsidR="002F23E5" w:rsidRDefault="00997DE0" w:rsidP="00FB0ED9">
      <w:pPr>
        <w:pStyle w:val="NormalWeb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lang w:val="en-US"/>
        </w:rPr>
        <w:t>On</w:t>
      </w:r>
      <w:r w:rsidR="00F4359D">
        <w:rPr>
          <w:rStyle w:val="Strong"/>
          <w:rFonts w:ascii="Arial" w:hAnsi="Arial" w:cs="Arial"/>
          <w:color w:val="333333"/>
          <w:sz w:val="21"/>
          <w:szCs w:val="21"/>
          <w:lang w:val="en-US"/>
        </w:rPr>
        <w:t xml:space="preserve"> </w:t>
      </w:r>
      <w:proofErr w:type="gramStart"/>
      <w:r w:rsidR="00F4359D">
        <w:rPr>
          <w:rStyle w:val="Strong"/>
          <w:rFonts w:ascii="Arial" w:hAnsi="Arial" w:cs="Arial"/>
          <w:color w:val="333333"/>
          <w:sz w:val="21"/>
          <w:szCs w:val="21"/>
          <w:lang w:val="en-US"/>
        </w:rPr>
        <w:t>2</w:t>
      </w:r>
      <w:r>
        <w:rPr>
          <w:rStyle w:val="Strong"/>
          <w:rFonts w:ascii="Arial" w:hAnsi="Arial" w:cs="Arial"/>
          <w:color w:val="333333"/>
          <w:sz w:val="21"/>
          <w:szCs w:val="21"/>
          <w:lang w:val="en-US"/>
        </w:rPr>
        <w:t>.</w:t>
      </w:r>
      <w:r w:rsidR="00F4359D">
        <w:rPr>
          <w:rStyle w:val="Strong"/>
          <w:rFonts w:ascii="Arial" w:hAnsi="Arial" w:cs="Arial"/>
          <w:color w:val="333333"/>
          <w:sz w:val="21"/>
          <w:szCs w:val="21"/>
        </w:rPr>
        <w:t>:</w:t>
      </w:r>
      <w:proofErr w:type="gramEnd"/>
      <w:r w:rsidR="00F4359D">
        <w:rPr>
          <w:rStyle w:val="Stro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According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Article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 3 of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GBER,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aid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shall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be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compatible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provided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that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it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fulfils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all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conditions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laid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down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in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Chapter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I of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GBER,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as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well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as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specific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conditions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for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relevant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category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of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aid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laid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down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in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Chapter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III of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GBER, and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notably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conditions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in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Article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> 44.</w:t>
      </w:r>
    </w:p>
    <w:p w:rsidR="002F23E5" w:rsidRDefault="002F23E5" w:rsidP="00FB0ED9">
      <w:pPr>
        <w:pStyle w:val="NormalWeb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particular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aid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must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fulfil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conditions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ETD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Article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 44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paragraph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 1 GBER),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beneficiaries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must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respective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minimum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levels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taxation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Directive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Article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 44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paragraph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 2 GBER).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Article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paragraph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120 GBER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further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specifies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energy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products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relevant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minimum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levels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out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Annex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 (in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table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B)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ETD.</w:t>
      </w:r>
    </w:p>
    <w:p w:rsidR="002F23E5" w:rsidRDefault="002F23E5" w:rsidP="00FB0ED9">
      <w:pPr>
        <w:pStyle w:val="NormalWeb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According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Article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 44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paragraph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 4,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aid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shall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granted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biofuels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which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subject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supply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blending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purpose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provision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avoid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biofuels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already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benefitting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from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supply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blending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receive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additional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support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through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tax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measure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However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hand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excise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duty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diesel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equally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reduced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fossil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diesel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biodiesel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including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diesel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blends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used 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sector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situation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reduced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diesel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used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favour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biofuel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producer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over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fossil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producer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Therefore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reduction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diesel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agricultural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complies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with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Article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44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paragraph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4.</w:t>
      </w:r>
    </w:p>
    <w:p w:rsidR="002F23E5" w:rsidRDefault="00997DE0" w:rsidP="00FB0ED9">
      <w:pPr>
        <w:pStyle w:val="NormalWeb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lang w:val="en-US"/>
        </w:rPr>
        <w:t>O</w:t>
      </w:r>
      <w:r w:rsidR="00F4359D">
        <w:rPr>
          <w:rStyle w:val="Strong"/>
          <w:rFonts w:ascii="Arial" w:hAnsi="Arial" w:cs="Arial"/>
          <w:color w:val="333333"/>
          <w:sz w:val="21"/>
          <w:szCs w:val="21"/>
          <w:lang w:val="en-US"/>
        </w:rPr>
        <w:t>n</w:t>
      </w:r>
      <w:r w:rsidR="00F4359D">
        <w:rPr>
          <w:rStyle w:val="Strong"/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 w:rsidR="00F4359D">
        <w:rPr>
          <w:rStyle w:val="Strong"/>
          <w:rFonts w:ascii="Arial" w:hAnsi="Arial" w:cs="Arial"/>
          <w:color w:val="333333"/>
          <w:sz w:val="21"/>
          <w:szCs w:val="21"/>
          <w:lang w:val="en-US"/>
        </w:rPr>
        <w:t>3</w:t>
      </w:r>
      <w:r>
        <w:rPr>
          <w:rStyle w:val="Strong"/>
          <w:rFonts w:ascii="Arial" w:hAnsi="Arial" w:cs="Arial"/>
          <w:color w:val="333333"/>
          <w:sz w:val="21"/>
          <w:szCs w:val="21"/>
          <w:lang w:val="en-US"/>
        </w:rPr>
        <w:t>.</w:t>
      </w:r>
      <w:r w:rsidR="00F4359D">
        <w:rPr>
          <w:rStyle w:val="Strong"/>
          <w:rFonts w:ascii="Arial" w:hAnsi="Arial" w:cs="Arial"/>
          <w:color w:val="333333"/>
          <w:sz w:val="21"/>
          <w:szCs w:val="21"/>
        </w:rPr>
        <w:t>: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  <w:lang w:val="en-US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reduced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rate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should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be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calculated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on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basis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of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total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fuel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volume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including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biofuel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2F23E5">
        <w:rPr>
          <w:rFonts w:ascii="Arial" w:hAnsi="Arial" w:cs="Arial"/>
          <w:color w:val="333333"/>
          <w:sz w:val="21"/>
          <w:szCs w:val="21"/>
        </w:rPr>
        <w:t>component</w:t>
      </w:r>
      <w:proofErr w:type="spellEnd"/>
      <w:r w:rsidR="002F23E5">
        <w:rPr>
          <w:rFonts w:ascii="Arial" w:hAnsi="Arial" w:cs="Arial"/>
          <w:color w:val="333333"/>
          <w:sz w:val="21"/>
          <w:szCs w:val="21"/>
        </w:rPr>
        <w:t>.</w:t>
      </w:r>
    </w:p>
    <w:p w:rsidR="002F23E5" w:rsidRDefault="00997DE0" w:rsidP="00FB0ED9">
      <w:pPr>
        <w:pStyle w:val="NormalWeb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lang w:val="en-US"/>
        </w:rPr>
        <w:t>On</w:t>
      </w:r>
      <w:r w:rsidR="00F4359D">
        <w:rPr>
          <w:rStyle w:val="Strong"/>
          <w:rFonts w:ascii="Arial" w:hAnsi="Arial" w:cs="Arial"/>
          <w:color w:val="333333"/>
          <w:sz w:val="21"/>
          <w:szCs w:val="21"/>
          <w:lang w:val="en-US"/>
        </w:rPr>
        <w:t xml:space="preserve"> </w:t>
      </w:r>
      <w:proofErr w:type="gramStart"/>
      <w:r w:rsidR="00F4359D">
        <w:rPr>
          <w:rStyle w:val="Strong"/>
          <w:rFonts w:ascii="Arial" w:hAnsi="Arial" w:cs="Arial"/>
          <w:color w:val="333333"/>
          <w:sz w:val="21"/>
          <w:szCs w:val="21"/>
          <w:lang w:val="en-US"/>
        </w:rPr>
        <w:t>4</w:t>
      </w:r>
      <w:r>
        <w:rPr>
          <w:rStyle w:val="Strong"/>
          <w:rFonts w:ascii="Arial" w:hAnsi="Arial" w:cs="Arial"/>
          <w:color w:val="333333"/>
          <w:sz w:val="21"/>
          <w:szCs w:val="21"/>
          <w:lang w:val="en-US"/>
        </w:rPr>
        <w:t>.</w:t>
      </w:r>
      <w:r w:rsidR="00F4359D">
        <w:rPr>
          <w:rStyle w:val="Strong"/>
          <w:rFonts w:ascii="Arial" w:hAnsi="Arial" w:cs="Arial"/>
          <w:color w:val="333333"/>
          <w:sz w:val="21"/>
          <w:szCs w:val="21"/>
        </w:rPr>
        <w:t>:</w:t>
      </w:r>
      <w:proofErr w:type="gramEnd"/>
      <w:r w:rsidR="00F4359D">
        <w:rPr>
          <w:rStyle w:val="Strong"/>
          <w:rFonts w:ascii="Arial" w:hAnsi="Arial" w:cs="Arial"/>
          <w:color w:val="333333"/>
          <w:sz w:val="21"/>
          <w:szCs w:val="21"/>
        </w:rPr>
        <w:t xml:space="preserve"> </w:t>
      </w:r>
      <w:r w:rsidR="002F23E5">
        <w:rPr>
          <w:rFonts w:ascii="Arial" w:hAnsi="Arial" w:cs="Arial"/>
          <w:color w:val="333333"/>
          <w:sz w:val="21"/>
          <w:szCs w:val="21"/>
        </w:rPr>
        <w:t>n/a</w:t>
      </w:r>
    </w:p>
    <w:p w:rsidR="002F23E5" w:rsidRPr="00997DE0" w:rsidRDefault="002F23E5" w:rsidP="00FB0ED9">
      <w:pPr>
        <w:pStyle w:val="NormalWeb"/>
        <w:jc w:val="both"/>
        <w:rPr>
          <w:rFonts w:ascii="Arial" w:hAnsi="Arial" w:cs="Arial"/>
          <w:color w:val="333333"/>
          <w:sz w:val="21"/>
          <w:szCs w:val="21"/>
          <w:lang w:val="en-US"/>
        </w:rPr>
      </w:pPr>
      <w:bookmarkStart w:id="0" w:name="_GoBack"/>
      <w:bookmarkEnd w:id="0"/>
    </w:p>
    <w:p w:rsidR="002F23E5" w:rsidRDefault="002F23E5" w:rsidP="00FB0ED9">
      <w:pPr>
        <w:pStyle w:val="NormalWeb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Disclaimer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: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This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reply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does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not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represent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formal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 and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definite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position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of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European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Commission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but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is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only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an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informal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guidance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provided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by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services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of DG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Competition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 to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facilitate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application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of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GBER.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It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is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therefore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not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binding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and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cannot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create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legal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certainty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or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legitimate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expectations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. </w:t>
      </w:r>
    </w:p>
    <w:p w:rsidR="00AC2A6A" w:rsidRDefault="00AC2A6A" w:rsidP="00FB0ED9">
      <w:pPr>
        <w:jc w:val="both"/>
      </w:pPr>
    </w:p>
    <w:sectPr w:rsidR="00AC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65"/>
    <w:rsid w:val="00221E3F"/>
    <w:rsid w:val="002B2C65"/>
    <w:rsid w:val="002F23E5"/>
    <w:rsid w:val="00517436"/>
    <w:rsid w:val="005314FC"/>
    <w:rsid w:val="0064124D"/>
    <w:rsid w:val="00775175"/>
    <w:rsid w:val="0091503B"/>
    <w:rsid w:val="00997DE0"/>
    <w:rsid w:val="00AC2A6A"/>
    <w:rsid w:val="00CA04BA"/>
    <w:rsid w:val="00D24972"/>
    <w:rsid w:val="00D53A42"/>
    <w:rsid w:val="00DC4A07"/>
    <w:rsid w:val="00EC524B"/>
    <w:rsid w:val="00F4359D"/>
    <w:rsid w:val="00FB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F23E5"/>
    <w:rPr>
      <w:i/>
      <w:iCs/>
    </w:rPr>
  </w:style>
  <w:style w:type="character" w:styleId="Strong">
    <w:name w:val="Strong"/>
    <w:basedOn w:val="DefaultParagraphFont"/>
    <w:uiPriority w:val="22"/>
    <w:qFormat/>
    <w:rsid w:val="002F23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23E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F23E5"/>
    <w:rPr>
      <w:i/>
      <w:iCs/>
    </w:rPr>
  </w:style>
  <w:style w:type="character" w:styleId="Strong">
    <w:name w:val="Strong"/>
    <w:basedOn w:val="DefaultParagraphFont"/>
    <w:uiPriority w:val="22"/>
    <w:qFormat/>
    <w:rsid w:val="002F23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23E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621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7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8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39749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4822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02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61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99616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85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180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68770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0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5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19738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0888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3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6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68398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79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97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798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Ивелина Кирилова</dc:creator>
  <cp:keywords/>
  <dc:description/>
  <cp:lastModifiedBy>Ивелина Кирилова</cp:lastModifiedBy>
  <cp:revision>6</cp:revision>
  <dcterms:created xsi:type="dcterms:W3CDTF">2016-03-21T14:24:00Z</dcterms:created>
  <dcterms:modified xsi:type="dcterms:W3CDTF">2016-03-21T15:16:00Z</dcterms:modified>
</cp:coreProperties>
</file>